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2F9A" w14:textId="617D125F" w:rsidR="00AD0C9D" w:rsidRDefault="00FC1B7A">
      <w:r>
        <w:t>Расходы на строительство введенных в эксплуатацию объектов электросетевого хозяйства для целей технологического присоединения и реализации  иных мероприятий инвестиционной программы, на подготовку и выдачу сетевой организации технических условий и их согласование с системным оператором, на проверку выполнения технических условий на 01.11.2023 ОТСУТСТВУЮТ.</w:t>
      </w:r>
    </w:p>
    <w:sectPr w:rsidR="00AD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A"/>
    <w:rsid w:val="00AD0C9D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320A"/>
  <w15:chartTrackingRefBased/>
  <w15:docId w15:val="{8B6DA22E-3897-4FE4-B6BA-E022ADBF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иженер</dc:creator>
  <cp:keywords/>
  <dc:description/>
  <cp:lastModifiedBy>КСК иженер</cp:lastModifiedBy>
  <cp:revision>1</cp:revision>
  <dcterms:created xsi:type="dcterms:W3CDTF">2023-10-30T05:10:00Z</dcterms:created>
  <dcterms:modified xsi:type="dcterms:W3CDTF">2023-10-30T05:16:00Z</dcterms:modified>
</cp:coreProperties>
</file>